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04" w:rsidRPr="00355290" w:rsidRDefault="00F12F04" w:rsidP="00F12F04">
      <w:pPr>
        <w:spacing w:before="11" w:line="360" w:lineRule="auto"/>
        <w:jc w:val="center"/>
        <w:rPr>
          <w:rFonts w:ascii="Verdana" w:hAnsi="Verdana" w:cs="Verdana"/>
          <w:b/>
          <w:sz w:val="28"/>
          <w:lang w:val="es-ES"/>
        </w:rPr>
      </w:pPr>
      <w:r w:rsidRPr="00355290">
        <w:rPr>
          <w:rFonts w:ascii="Verdana" w:hAnsi="Verdana" w:cs="Verdana"/>
          <w:b/>
          <w:sz w:val="28"/>
          <w:lang w:val="es-ES"/>
        </w:rPr>
        <w:t>MATEMÁTICAS ACADÉMICAS (ESO)</w:t>
      </w:r>
    </w:p>
    <w:p w:rsidR="00F12F04" w:rsidRPr="00355290" w:rsidRDefault="00F12F04" w:rsidP="00F12F04">
      <w:pPr>
        <w:spacing w:before="11" w:line="360" w:lineRule="auto"/>
        <w:jc w:val="center"/>
        <w:rPr>
          <w:rFonts w:ascii="Verdana" w:hAnsi="Verdana" w:cs="Verdana"/>
          <w:sz w:val="28"/>
          <w:lang w:val="es-ES"/>
        </w:rPr>
      </w:pPr>
      <w:r w:rsidRPr="00355290">
        <w:rPr>
          <w:rFonts w:ascii="Verdana" w:hAnsi="Verdana" w:cs="Verdana"/>
          <w:b/>
          <w:sz w:val="28"/>
          <w:lang w:val="es-ES"/>
        </w:rPr>
        <w:t xml:space="preserve">Adaptación de </w:t>
      </w:r>
      <w:r w:rsidRPr="00355290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355290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355290">
        <w:rPr>
          <w:rFonts w:ascii="Verdana" w:hAnsi="Verdana" w:cs="Verdana"/>
          <w:b/>
          <w:sz w:val="28"/>
          <w:lang w:val="es-ES"/>
        </w:rPr>
        <w:t xml:space="preserve"> a los currículos de</w:t>
      </w:r>
      <w:r w:rsidRPr="00355290">
        <w:rPr>
          <w:rFonts w:ascii="Verdana" w:hAnsi="Verdana" w:cs="Verdana"/>
          <w:b/>
          <w:sz w:val="28"/>
          <w:lang w:val="es-ES"/>
        </w:rPr>
        <w:br/>
        <w:t>las distintas comunidades autónomas</w:t>
      </w:r>
    </w:p>
    <w:p w:rsidR="00F12F04" w:rsidRPr="00355290" w:rsidRDefault="00F12F04" w:rsidP="00F12F04">
      <w:pPr>
        <w:spacing w:before="11" w:line="360" w:lineRule="auto"/>
        <w:jc w:val="center"/>
        <w:rPr>
          <w:rFonts w:ascii="Verdana" w:hAnsi="Verdana" w:cs="Verdana"/>
          <w:lang w:val="es-ES"/>
        </w:rPr>
      </w:pP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42A2E">
        <w:rPr>
          <w:rFonts w:ascii="Verdana" w:hAnsi="Verdana" w:cs="Verdana"/>
          <w:b/>
          <w:lang w:val="es-ES"/>
        </w:rPr>
        <w:t xml:space="preserve">El árbol curricular de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b/>
          <w:lang w:val="es-ES"/>
        </w:rPr>
        <w:t xml:space="preserve"> y la </w:t>
      </w:r>
      <w:r w:rsidR="00355290" w:rsidRPr="00242A2E">
        <w:rPr>
          <w:rFonts w:ascii="Verdana" w:hAnsi="Verdana" w:cs="Verdana"/>
          <w:b/>
          <w:lang w:val="es-ES"/>
        </w:rPr>
        <w:t>LOMCE</w:t>
      </w: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lang w:val="es-ES"/>
        </w:rPr>
        <w:t xml:space="preserve"> para la asignatura de </w:t>
      </w:r>
      <w:r w:rsidRPr="00242A2E">
        <w:rPr>
          <w:rFonts w:ascii="Verdana" w:hAnsi="Verdana" w:cs="Verdana"/>
          <w:b/>
          <w:lang w:val="es-ES"/>
        </w:rPr>
        <w:t>Matemáticas</w:t>
      </w:r>
      <w:r w:rsidRPr="00242A2E">
        <w:rPr>
          <w:rFonts w:ascii="Verdana" w:hAnsi="Verdana" w:cs="Verdana"/>
          <w:lang w:val="es-ES"/>
        </w:rPr>
        <w:t xml:space="preserve"> en 3</w:t>
      </w:r>
      <w:r w:rsidR="00355290" w:rsidRPr="00242A2E">
        <w:rPr>
          <w:rFonts w:ascii="Verdana" w:hAnsi="Verdana" w:cs="Verdana"/>
          <w:lang w:val="es-ES"/>
        </w:rPr>
        <w:t>.</w:t>
      </w:r>
      <w:r w:rsidRPr="00242A2E">
        <w:rPr>
          <w:rFonts w:ascii="Verdana" w:hAnsi="Verdana" w:cs="Verdana"/>
          <w:lang w:val="es-ES"/>
        </w:rPr>
        <w:t xml:space="preserve">º de ESO responde a los contenidos, criterios y estándares de aprendizaje establecidos por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 xml:space="preserve">. Para ello, tal y como indica la Ley, se han creado dos asignaturas independientes: </w:t>
      </w:r>
      <w:r w:rsidRPr="00242A2E">
        <w:rPr>
          <w:rFonts w:ascii="Verdana" w:hAnsi="Verdana" w:cs="Verdana"/>
          <w:b/>
          <w:lang w:val="es-ES"/>
        </w:rPr>
        <w:t xml:space="preserve">Matemáticas orientadas a las enseñanzas </w:t>
      </w:r>
      <w:r w:rsidR="00355290" w:rsidRPr="00242A2E">
        <w:rPr>
          <w:rFonts w:ascii="Verdana" w:hAnsi="Verdana" w:cs="Verdana"/>
          <w:b/>
          <w:lang w:val="es-ES"/>
        </w:rPr>
        <w:t>académicas</w:t>
      </w:r>
      <w:r w:rsidR="00355290" w:rsidRPr="00242A2E">
        <w:rPr>
          <w:rFonts w:ascii="Verdana" w:hAnsi="Verdana" w:cs="Verdana"/>
          <w:lang w:val="es-ES"/>
        </w:rPr>
        <w:t xml:space="preserve"> </w:t>
      </w:r>
      <w:r w:rsidRPr="00242A2E">
        <w:rPr>
          <w:rFonts w:ascii="Verdana" w:hAnsi="Verdana" w:cs="Verdana"/>
          <w:lang w:val="es-ES"/>
        </w:rPr>
        <w:t xml:space="preserve">y </w:t>
      </w:r>
      <w:r w:rsidRPr="00242A2E">
        <w:rPr>
          <w:rFonts w:ascii="Verdana" w:hAnsi="Verdana" w:cs="Verdana"/>
          <w:b/>
          <w:lang w:val="es-ES"/>
        </w:rPr>
        <w:t xml:space="preserve">Matemáticas orientadas a las enseñanzas </w:t>
      </w:r>
      <w:r w:rsidR="00355290" w:rsidRPr="00242A2E">
        <w:rPr>
          <w:rFonts w:ascii="Verdana" w:hAnsi="Verdana" w:cs="Verdana"/>
          <w:b/>
          <w:lang w:val="es-ES"/>
        </w:rPr>
        <w:t>aplicadas</w:t>
      </w:r>
      <w:r w:rsidRPr="00242A2E">
        <w:rPr>
          <w:rFonts w:ascii="Verdana" w:hAnsi="Verdana" w:cs="Verdana"/>
          <w:lang w:val="es-ES"/>
        </w:rPr>
        <w:t xml:space="preserve">. </w:t>
      </w: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lang w:val="es-ES"/>
        </w:rPr>
        <w:t xml:space="preserve">La diferencia entre unas y otras reside en parte del contenido y en el enfoque. Las Matemáticas </w:t>
      </w:r>
      <w:r w:rsidR="009B4C8F">
        <w:rPr>
          <w:rFonts w:ascii="Verdana" w:hAnsi="Verdana" w:cs="Verdana"/>
          <w:lang w:val="es-ES"/>
        </w:rPr>
        <w:t>orientadas a las enseñanzas a</w:t>
      </w:r>
      <w:r w:rsidRPr="00242A2E">
        <w:rPr>
          <w:rFonts w:ascii="Verdana" w:hAnsi="Verdana" w:cs="Verdana"/>
          <w:lang w:val="es-ES"/>
        </w:rPr>
        <w:t xml:space="preserve">plicadas tendrán un aire más “práctico”, con contenido basado en muchos ejemplos de uso cotidiano y ejercicios aplicados. </w:t>
      </w: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471B7F" w:rsidRPr="006A14F8" w:rsidRDefault="00F12F04" w:rsidP="00F12F04">
      <w:pPr>
        <w:spacing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lang w:val="es-ES"/>
        </w:rPr>
        <w:t>Las unidades trabajadas en Matemáticas académicas son las presentadas a continuación: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96D0F" w:rsidRPr="00242A2E" w:rsidTr="00F12F04">
        <w:trPr>
          <w:trHeight w:val="482"/>
        </w:trPr>
        <w:tc>
          <w:tcPr>
            <w:tcW w:w="8723" w:type="dxa"/>
            <w:tcBorders>
              <w:top w:val="nil"/>
            </w:tcBorders>
            <w:shd w:val="clear" w:color="auto" w:fill="002060"/>
            <w:vAlign w:val="center"/>
          </w:tcPr>
          <w:p w:rsidR="00796D0F" w:rsidRPr="00242A2E" w:rsidRDefault="00796D0F" w:rsidP="00F12F0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Matemáticas </w:t>
            </w:r>
            <w:r w:rsidR="00F12F04"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académicas </w:t>
            </w:r>
          </w:p>
        </w:tc>
      </w:tr>
      <w:tr w:rsidR="00F12F04" w:rsidRPr="00242A2E" w:rsidTr="00471B7F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12F04" w:rsidRPr="00242A2E" w:rsidRDefault="00F12F04" w:rsidP="00796D0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F12F04" w:rsidRPr="00242A2E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F12F04" w:rsidRPr="00242A2E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D93427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F12F04" w:rsidRPr="00242A2E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796D0F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F12F04" w:rsidRPr="00DC7099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F12F04" w:rsidRPr="00242A2E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F12F04" w:rsidRPr="00242A2E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F12F04" w:rsidRPr="00242A2E" w:rsidTr="00471B7F">
        <w:tc>
          <w:tcPr>
            <w:tcW w:w="8723" w:type="dxa"/>
            <w:shd w:val="clear" w:color="auto" w:fill="auto"/>
            <w:vAlign w:val="bottom"/>
          </w:tcPr>
          <w:p w:rsidR="00F12F04" w:rsidRPr="00242A2E" w:rsidRDefault="00F12F04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471B7F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F12F04" w:rsidRPr="00242A2E" w:rsidRDefault="00F12F04" w:rsidP="00471B7F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b/>
          <w:lang w:val="es-ES"/>
        </w:rPr>
        <w:lastRenderedPageBreak/>
        <w:t xml:space="preserve">El árbol curricular de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b/>
          <w:lang w:val="es-ES"/>
        </w:rPr>
        <w:t xml:space="preserve"> y su adaptación a los currículos autonómicos</w:t>
      </w: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42A2E">
        <w:rPr>
          <w:rFonts w:ascii="Verdana" w:hAnsi="Verdana" w:cs="Verdana"/>
          <w:lang w:val="es-ES"/>
        </w:rPr>
        <w:t>Las Matemáticas orientadas</w:t>
      </w:r>
      <w:r w:rsidR="00471B7F" w:rsidRPr="00242A2E">
        <w:rPr>
          <w:rFonts w:ascii="Verdana" w:hAnsi="Verdana" w:cs="Verdana"/>
          <w:lang w:val="es-ES"/>
        </w:rPr>
        <w:t xml:space="preserve"> a enseñanzas </w:t>
      </w:r>
      <w:r w:rsidR="00355290" w:rsidRPr="00242A2E">
        <w:rPr>
          <w:rFonts w:ascii="Verdana" w:hAnsi="Verdana" w:cs="Verdana"/>
          <w:lang w:val="es-ES"/>
        </w:rPr>
        <w:t xml:space="preserve">académicas </w:t>
      </w:r>
      <w:r w:rsidR="00471B7F" w:rsidRPr="00242A2E">
        <w:rPr>
          <w:rFonts w:ascii="Verdana" w:hAnsi="Verdana" w:cs="Verdana"/>
          <w:lang w:val="es-ES"/>
        </w:rPr>
        <w:t>y las M</w:t>
      </w:r>
      <w:r w:rsidRPr="00242A2E">
        <w:rPr>
          <w:rFonts w:ascii="Verdana" w:hAnsi="Verdana" w:cs="Verdana"/>
          <w:lang w:val="es-ES"/>
        </w:rPr>
        <w:t xml:space="preserve">atemáticas orientadas a enseñanzas </w:t>
      </w:r>
      <w:r w:rsidR="00355290" w:rsidRPr="00242A2E">
        <w:rPr>
          <w:rFonts w:ascii="Verdana" w:hAnsi="Verdana" w:cs="Verdana"/>
          <w:lang w:val="es-ES"/>
        </w:rPr>
        <w:t xml:space="preserve">aplicadas </w:t>
      </w:r>
      <w:r w:rsidRPr="00242A2E">
        <w:rPr>
          <w:rFonts w:ascii="Verdana" w:hAnsi="Verdana" w:cs="Verdana"/>
          <w:lang w:val="es-ES"/>
        </w:rPr>
        <w:t xml:space="preserve">son asignaturas de nueva creación aparecidas por petición de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 xml:space="preserve">. Se ha partido de la propuesta general hecha por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lang w:val="es-ES"/>
        </w:rPr>
        <w:t xml:space="preserve"> (en base a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 xml:space="preserve">) para modificar la presentación de cada comunidad autónoma. </w:t>
      </w: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242A2E">
        <w:rPr>
          <w:rFonts w:ascii="Verdana" w:hAnsi="Verdana" w:cs="Verdana"/>
          <w:lang w:val="es-ES"/>
        </w:rPr>
        <w:t>En los temarios propuestos para cada comunidad, se deben tener en cuenta los siguientes aspectos:</w:t>
      </w:r>
    </w:p>
    <w:p w:rsidR="00F12F04" w:rsidRPr="00242A2E" w:rsidRDefault="00F12F04" w:rsidP="00F12F04">
      <w:pPr>
        <w:numPr>
          <w:ilvl w:val="0"/>
          <w:numId w:val="10"/>
        </w:numPr>
        <w:suppressAutoHyphens/>
        <w:spacing w:before="11"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b/>
          <w:bCs/>
          <w:lang w:val="es-ES"/>
        </w:rPr>
        <w:t xml:space="preserve">Temas complementarios: </w:t>
      </w:r>
      <w:r w:rsidRPr="00242A2E">
        <w:rPr>
          <w:rFonts w:ascii="Verdana" w:hAnsi="Verdana" w:cs="Verdana"/>
          <w:lang w:val="es-ES"/>
        </w:rPr>
        <w:t xml:space="preserve">se trata de temas que no aparecen en el currículo regional pero se han mantenido en los árboles curriculares.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b/>
          <w:lang w:val="es-ES"/>
        </w:rPr>
        <w:t xml:space="preserve"> </w:t>
      </w:r>
      <w:r w:rsidRPr="00242A2E">
        <w:rPr>
          <w:rFonts w:ascii="Verdana" w:hAnsi="Verdana" w:cs="Verdana"/>
          <w:lang w:val="es-ES"/>
        </w:rPr>
        <w:t xml:space="preserve">considera interesante para los profesores y alumnos disponer de contenidos complementarios para ampliar el conocimiento y las propuestas didácticas disponibles. Además, como cada CCAA, centro y grupo avanza a un ritmo distinto o utiliza distintas metodologías,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lang w:val="es-ES"/>
        </w:rPr>
        <w:t xml:space="preserve"> ha optado por ofrecer contenido complementario para responder a su diversidad de necesidades. </w:t>
      </w:r>
      <w:r w:rsidRPr="00242A2E">
        <w:rPr>
          <w:rFonts w:ascii="Verdana" w:hAnsi="Verdana" w:cs="Calibri"/>
          <w:lang w:val="es-ES"/>
        </w:rPr>
        <w:t xml:space="preserve">Se debe tener en cuenta también que la implantación gradual de la </w:t>
      </w:r>
      <w:r w:rsidR="00355290" w:rsidRPr="00242A2E">
        <w:rPr>
          <w:rFonts w:ascii="Verdana" w:hAnsi="Verdana" w:cs="Calibri"/>
          <w:lang w:val="es-ES"/>
        </w:rPr>
        <w:t>LOMCE</w:t>
      </w:r>
      <w:r w:rsidRPr="00242A2E">
        <w:rPr>
          <w:rFonts w:ascii="Verdana" w:hAnsi="Verdana" w:cs="Calibri"/>
          <w:lang w:val="es-ES"/>
        </w:rPr>
        <w:t xml:space="preserve"> en los distintos cursos hace necesario mantener temas como complementarios para asegurar que ningún alumno deja de tratar contenidos durante el periodo de transición. </w:t>
      </w:r>
      <w:r w:rsidRPr="00242A2E">
        <w:rPr>
          <w:rFonts w:ascii="Verdana" w:hAnsi="Verdana" w:cs="Verdana"/>
          <w:lang w:val="es-ES"/>
        </w:rPr>
        <w:t>Los temas complementarios están al final de los temarios y así se indica en los listados que se presentan a continuación.</w:t>
      </w:r>
    </w:p>
    <w:p w:rsidR="00F12F04" w:rsidRPr="00242A2E" w:rsidRDefault="00F12F04" w:rsidP="00F12F04">
      <w:pPr>
        <w:spacing w:before="11" w:line="360" w:lineRule="auto"/>
        <w:ind w:left="720"/>
        <w:jc w:val="both"/>
        <w:rPr>
          <w:rFonts w:ascii="Verdana" w:hAnsi="Verdana" w:cs="Verdana"/>
          <w:b/>
          <w:bCs/>
          <w:lang w:val="es-ES"/>
        </w:rPr>
      </w:pPr>
      <w:r w:rsidRPr="00242A2E">
        <w:rPr>
          <w:rFonts w:ascii="Verdana" w:hAnsi="Verdana" w:cs="Verdana"/>
          <w:lang w:val="es-ES"/>
        </w:rPr>
        <w:t xml:space="preserve">Las comunidades autónomas, en general, no trabajan la unidad </w:t>
      </w:r>
      <w:r w:rsidRPr="00242A2E">
        <w:rPr>
          <w:rFonts w:ascii="Verdana" w:hAnsi="Verdana" w:cs="Verdana"/>
          <w:i/>
          <w:iCs/>
          <w:lang w:val="es-ES"/>
        </w:rPr>
        <w:t>Proporcionalidad y porcentajes</w:t>
      </w:r>
      <w:r w:rsidRPr="00242A2E">
        <w:rPr>
          <w:rFonts w:ascii="Verdana" w:hAnsi="Verdana" w:cs="Verdana"/>
          <w:lang w:val="es-ES"/>
        </w:rPr>
        <w:t xml:space="preserve"> a pesar que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 xml:space="preserve"> general lo requería, de modo que se ha optado por mantener este tema como tema complementario a pesar de que no se incluya en los requerimientos específicos de algunas comunidades. Este tema será, pues, material complementario para el profesor y el alumnado. </w:t>
      </w:r>
    </w:p>
    <w:p w:rsidR="00F12F04" w:rsidRPr="00242A2E" w:rsidRDefault="00F12F04" w:rsidP="00F12F04">
      <w:pPr>
        <w:numPr>
          <w:ilvl w:val="0"/>
          <w:numId w:val="10"/>
        </w:numPr>
        <w:suppressAutoHyphens/>
        <w:spacing w:before="11"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b/>
          <w:bCs/>
          <w:lang w:val="es-ES"/>
        </w:rPr>
        <w:t>Temas d</w:t>
      </w:r>
      <w:r w:rsidRPr="00242A2E">
        <w:rPr>
          <w:rFonts w:ascii="Verdana" w:hAnsi="Verdana" w:cs="Verdana"/>
          <w:b/>
          <w:lang w:val="es-ES"/>
        </w:rPr>
        <w:t>uplicados</w:t>
      </w:r>
      <w:r w:rsidRPr="00242A2E">
        <w:rPr>
          <w:rFonts w:ascii="Verdana" w:hAnsi="Verdana" w:cs="Verdana"/>
          <w:lang w:val="es-ES"/>
        </w:rPr>
        <w:t xml:space="preserve">: el currículo considera necesario abordar los contenidos de temas determinados en distintos cursos. Ante la </w:t>
      </w:r>
      <w:r w:rsidRPr="00242A2E">
        <w:rPr>
          <w:rFonts w:ascii="Verdana" w:hAnsi="Verdana" w:cs="Verdana"/>
          <w:lang w:val="es-ES"/>
        </w:rPr>
        <w:lastRenderedPageBreak/>
        <w:t xml:space="preserve">diversidad de necesidades y ritmos de aprendizaje de centros, profesores y grupos de una misma comunidad,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242A2E">
        <w:rPr>
          <w:rFonts w:ascii="Verdana" w:hAnsi="Verdana" w:cs="Verdana"/>
          <w:lang w:val="es-ES"/>
        </w:rPr>
        <w:t xml:space="preserve">propone disponer de los temas completos en ambos cursos. </w:t>
      </w:r>
    </w:p>
    <w:p w:rsidR="00F12F04" w:rsidRPr="00242A2E" w:rsidRDefault="00F12F04" w:rsidP="00F12F04">
      <w:pPr>
        <w:spacing w:before="11" w:line="360" w:lineRule="auto"/>
        <w:ind w:left="720"/>
        <w:jc w:val="both"/>
        <w:rPr>
          <w:rFonts w:ascii="Verdana" w:hAnsi="Verdana" w:cs="Verdana"/>
          <w:b/>
          <w:bCs/>
          <w:lang w:val="es-ES"/>
        </w:rPr>
      </w:pPr>
      <w:r w:rsidRPr="00242A2E">
        <w:rPr>
          <w:rFonts w:ascii="Verdana" w:hAnsi="Verdana" w:cs="Verdana"/>
          <w:lang w:val="es-ES"/>
        </w:rPr>
        <w:t xml:space="preserve">Aunque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 xml:space="preserve"> no lo contempla, la mayoría de comunidades autónomas duplica la unidad de </w:t>
      </w:r>
      <w:r w:rsidRPr="00242A2E">
        <w:rPr>
          <w:rFonts w:ascii="Verdana" w:hAnsi="Verdana" w:cs="Verdana"/>
          <w:i/>
          <w:iCs/>
          <w:lang w:val="es-ES"/>
        </w:rPr>
        <w:t>Las transformaciones en el plano</w:t>
      </w:r>
      <w:r w:rsidRPr="00242A2E">
        <w:rPr>
          <w:rFonts w:ascii="Verdana" w:hAnsi="Verdana" w:cs="Verdana"/>
          <w:lang w:val="es-ES"/>
        </w:rPr>
        <w:t>, trabajando dicha unidad en ambas asignaturas. En este caso, por ejemplo, se ha duplicado el tema en distintos cursos.</w:t>
      </w:r>
    </w:p>
    <w:p w:rsidR="00F12F04" w:rsidRPr="00242A2E" w:rsidRDefault="00F12F04" w:rsidP="00F12F04">
      <w:pPr>
        <w:numPr>
          <w:ilvl w:val="0"/>
          <w:numId w:val="11"/>
        </w:numPr>
        <w:suppressAutoHyphens/>
        <w:spacing w:before="11" w:line="360" w:lineRule="auto"/>
        <w:ind w:left="709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b/>
          <w:bCs/>
          <w:lang w:val="es-ES"/>
        </w:rPr>
        <w:t>Temas recuperados</w:t>
      </w:r>
      <w:r w:rsidRPr="00242A2E">
        <w:rPr>
          <w:rFonts w:ascii="Verdana" w:hAnsi="Verdana" w:cs="Verdana"/>
          <w:lang w:val="es-ES"/>
        </w:rPr>
        <w:t xml:space="preserve">: se trata de contenidos que son antiguos a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 xml:space="preserve"> y que se recuperan para adaptarse a los requerimientos de las comunidades. </w:t>
      </w:r>
    </w:p>
    <w:p w:rsidR="00F12F04" w:rsidRPr="00242A2E" w:rsidRDefault="00F12F04" w:rsidP="009B4C8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242A2E">
        <w:rPr>
          <w:rFonts w:ascii="Verdana" w:hAnsi="Verdana" w:cs="Verdana"/>
          <w:lang w:val="es-ES"/>
        </w:rPr>
        <w:t xml:space="preserve">En concreto, se ha visto que, </w:t>
      </w:r>
      <w:r w:rsidRPr="00242A2E">
        <w:rPr>
          <w:rFonts w:ascii="Verdana" w:hAnsi="Verdana" w:cs="Verdana"/>
          <w:bCs/>
          <w:lang w:val="es-ES"/>
        </w:rPr>
        <w:t xml:space="preserve">pese a que la </w:t>
      </w:r>
      <w:r w:rsidR="00355290" w:rsidRPr="00242A2E">
        <w:rPr>
          <w:rFonts w:ascii="Verdana" w:hAnsi="Verdana" w:cs="Verdana"/>
          <w:bCs/>
          <w:lang w:val="es-ES"/>
        </w:rPr>
        <w:t>LOMCE</w:t>
      </w:r>
      <w:r w:rsidRPr="00242A2E">
        <w:rPr>
          <w:rFonts w:ascii="Verdana" w:hAnsi="Verdana" w:cs="Verdana"/>
          <w:bCs/>
          <w:lang w:val="es-ES"/>
        </w:rPr>
        <w:t xml:space="preserve"> suprime el estudio de los números irracionales en 3</w:t>
      </w:r>
      <w:r w:rsidR="00355290" w:rsidRPr="00242A2E">
        <w:rPr>
          <w:rFonts w:ascii="Verdana" w:hAnsi="Verdana" w:cs="Verdana"/>
          <w:bCs/>
          <w:lang w:val="es-ES"/>
        </w:rPr>
        <w:t>.</w:t>
      </w:r>
      <w:r w:rsidR="009B4C8F">
        <w:rPr>
          <w:rFonts w:ascii="Verdana" w:hAnsi="Verdana" w:cs="Verdana"/>
          <w:bCs/>
          <w:lang w:val="es-ES"/>
        </w:rPr>
        <w:t xml:space="preserve">º de la ESO, </w:t>
      </w:r>
      <w:r w:rsidRPr="00242A2E">
        <w:rPr>
          <w:rFonts w:ascii="Verdana" w:hAnsi="Verdana" w:cs="Verdana"/>
          <w:bCs/>
          <w:lang w:val="es-ES"/>
        </w:rPr>
        <w:t>algunas comunidades proponen trabajarlos. Lo mismo pasa con conceptos relacionados con las transformaciones en el</w:t>
      </w:r>
      <w:r w:rsidR="009B4C8F">
        <w:rPr>
          <w:rFonts w:ascii="Verdana" w:hAnsi="Verdana" w:cs="Verdana"/>
          <w:bCs/>
          <w:lang w:val="es-ES"/>
        </w:rPr>
        <w:t xml:space="preserve"> </w:t>
      </w:r>
      <w:r w:rsidRPr="00242A2E">
        <w:rPr>
          <w:rFonts w:ascii="Verdana" w:hAnsi="Verdana" w:cs="Verdana"/>
          <w:bCs/>
          <w:lang w:val="es-ES"/>
        </w:rPr>
        <w:t>plano. Para cubrir estas necesi</w:t>
      </w:r>
      <w:r w:rsidRPr="00242A2E">
        <w:rPr>
          <w:rFonts w:ascii="Verdana" w:hAnsi="Verdana" w:cs="Verdana"/>
          <w:lang w:val="es-ES"/>
        </w:rPr>
        <w:t xml:space="preserve">dades, desde </w:t>
      </w:r>
      <w:r w:rsidRPr="00242A2E">
        <w:rPr>
          <w:rFonts w:ascii="Verdana" w:hAnsi="Verdana" w:cs="Verdana"/>
          <w:b/>
          <w:color w:val="002060"/>
          <w:lang w:val="es-ES"/>
        </w:rPr>
        <w:t>aula</w:t>
      </w:r>
      <w:r w:rsidRPr="00242A2E">
        <w:rPr>
          <w:rFonts w:ascii="Verdana" w:hAnsi="Verdana" w:cs="Verdana"/>
          <w:b/>
          <w:color w:val="00B0F0"/>
          <w:lang w:val="es-ES"/>
        </w:rPr>
        <w:t>Planeta</w:t>
      </w:r>
      <w:r w:rsidRPr="00242A2E">
        <w:rPr>
          <w:rFonts w:ascii="Verdana" w:hAnsi="Verdana" w:cs="Verdana"/>
          <w:lang w:val="es-ES"/>
        </w:rPr>
        <w:t xml:space="preserve"> se recupera parte del material de la</w:t>
      </w:r>
      <w:r w:rsidR="009B4C8F">
        <w:rPr>
          <w:rFonts w:ascii="Verdana" w:hAnsi="Verdana" w:cs="Verdana"/>
          <w:lang w:val="es-ES"/>
        </w:rPr>
        <w:t xml:space="preserve">s matemáticas de la LOE o de </w:t>
      </w:r>
      <w:r w:rsidRPr="00242A2E">
        <w:rPr>
          <w:rFonts w:ascii="Verdana" w:hAnsi="Verdana" w:cs="Verdana"/>
          <w:lang w:val="es-ES"/>
        </w:rPr>
        <w:t xml:space="preserve">las Matemáticas </w:t>
      </w:r>
      <w:r w:rsidR="009B4C8F">
        <w:rPr>
          <w:rFonts w:ascii="Verdana" w:hAnsi="Verdana" w:cs="Verdana"/>
          <w:lang w:val="es-ES"/>
        </w:rPr>
        <w:t>a</w:t>
      </w:r>
      <w:r w:rsidRPr="00242A2E">
        <w:rPr>
          <w:rFonts w:ascii="Verdana" w:hAnsi="Verdana" w:cs="Verdana"/>
          <w:lang w:val="es-ES"/>
        </w:rPr>
        <w:t xml:space="preserve">cadémicas de la </w:t>
      </w:r>
      <w:r w:rsidR="00355290" w:rsidRPr="00242A2E">
        <w:rPr>
          <w:rFonts w:ascii="Verdana" w:hAnsi="Verdana" w:cs="Verdana"/>
          <w:lang w:val="es-ES"/>
        </w:rPr>
        <w:t>LOMCE</w:t>
      </w:r>
      <w:r w:rsidRPr="00242A2E">
        <w:rPr>
          <w:rFonts w:ascii="Verdana" w:hAnsi="Verdana" w:cs="Verdana"/>
          <w:lang w:val="es-ES"/>
        </w:rPr>
        <w:t>, donde sí</w:t>
      </w:r>
      <w:r w:rsidR="009B4C8F">
        <w:rPr>
          <w:rFonts w:ascii="Verdana" w:hAnsi="Verdana" w:cs="Verdana"/>
          <w:lang w:val="es-ES"/>
        </w:rPr>
        <w:t xml:space="preserve"> </w:t>
      </w:r>
      <w:r w:rsidRPr="00242A2E">
        <w:rPr>
          <w:rFonts w:ascii="Verdana" w:hAnsi="Verdana" w:cs="Verdana"/>
          <w:lang w:val="es-ES"/>
        </w:rPr>
        <w:t>que se</w:t>
      </w:r>
      <w:r w:rsidR="009B4C8F">
        <w:rPr>
          <w:rFonts w:ascii="Verdana" w:hAnsi="Verdana" w:cs="Verdana"/>
          <w:lang w:val="es-ES"/>
        </w:rPr>
        <w:t xml:space="preserve"> </w:t>
      </w:r>
      <w:r w:rsidRPr="00242A2E">
        <w:rPr>
          <w:rFonts w:ascii="Verdana" w:hAnsi="Verdana" w:cs="Verdana"/>
          <w:lang w:val="es-ES"/>
        </w:rPr>
        <w:t xml:space="preserve">trabajaban. </w:t>
      </w:r>
    </w:p>
    <w:p w:rsidR="00F12F04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20109" w:rsidRPr="00242A2E" w:rsidRDefault="00F12F04" w:rsidP="00F12F04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242A2E">
        <w:rPr>
          <w:rFonts w:ascii="Verdana" w:hAnsi="Verdana" w:cs="Verdana"/>
          <w:lang w:val="es-ES"/>
        </w:rPr>
        <w:t>A continuación, se propone un temario para cada comunidad.</w:t>
      </w:r>
    </w:p>
    <w:p w:rsidR="001F5E00" w:rsidRPr="00242A2E" w:rsidRDefault="001F5E00" w:rsidP="00F12F0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55E51" w:rsidRPr="00242A2E" w:rsidRDefault="00355E51" w:rsidP="00355E5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Andalucía</w:t>
      </w:r>
    </w:p>
    <w:p w:rsidR="00FB6959" w:rsidRPr="00242A2E" w:rsidRDefault="00FB6959" w:rsidP="00310AE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55E51" w:rsidRPr="00242A2E" w:rsidTr="00E249E4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355E51" w:rsidRPr="00242A2E" w:rsidRDefault="00355E51" w:rsidP="00471B7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Matemáticas </w:t>
            </w:r>
            <w:r w:rsidR="00471B7F"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académicas </w:t>
            </w:r>
          </w:p>
        </w:tc>
      </w:tr>
      <w:tr w:rsidR="00471B7F" w:rsidRPr="00242A2E" w:rsidTr="00E249E4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71B7F" w:rsidRPr="00242A2E" w:rsidRDefault="00471B7F" w:rsidP="00471B7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3º. de Secundaria</w:t>
            </w:r>
          </w:p>
        </w:tc>
      </w:tr>
      <w:tr w:rsidR="00471B7F" w:rsidRPr="00242A2E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471B7F" w:rsidRPr="00242A2E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471B7F" w:rsidRPr="00242A2E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471B7F" w:rsidRPr="00DC7099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471B7F" w:rsidRPr="00242A2E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471B7F" w:rsidRPr="00242A2E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471B7F" w:rsidRPr="00242A2E" w:rsidTr="00E249E4">
        <w:tc>
          <w:tcPr>
            <w:tcW w:w="8755" w:type="dxa"/>
            <w:shd w:val="clear" w:color="auto" w:fill="auto"/>
            <w:vAlign w:val="bottom"/>
          </w:tcPr>
          <w:p w:rsidR="00471B7F" w:rsidRPr="00242A2E" w:rsidRDefault="00471B7F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E249E4">
        <w:tc>
          <w:tcPr>
            <w:tcW w:w="8755" w:type="dxa"/>
            <w:shd w:val="clear" w:color="auto" w:fill="auto"/>
            <w:vAlign w:val="bottom"/>
          </w:tcPr>
          <w:p w:rsidR="006A14F8" w:rsidRPr="00242A2E" w:rsidRDefault="006A14F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355E51" w:rsidRPr="00242A2E" w:rsidRDefault="00355E51" w:rsidP="00355E5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47CC0" w:rsidRPr="00242A2E" w:rsidRDefault="00A47CC0" w:rsidP="00A47CC0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Aragón</w:t>
      </w:r>
    </w:p>
    <w:p w:rsidR="00A47CC0" w:rsidRPr="00242A2E" w:rsidRDefault="00A47CC0" w:rsidP="00A47CC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47CC0" w:rsidRPr="00242A2E" w:rsidTr="00737A8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47CC0" w:rsidRPr="00242A2E" w:rsidRDefault="00A47CC0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47CC0" w:rsidRPr="00242A2E" w:rsidTr="00737A80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47CC0" w:rsidRPr="00242A2E" w:rsidRDefault="00A47CC0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A47CC0" w:rsidRPr="00242A2E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A47CC0" w:rsidRPr="00DC7099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A47CC0" w:rsidRPr="00242A2E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A47CC0" w:rsidRPr="00DC7099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A47CC0" w:rsidRPr="00242A2E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A47CC0" w:rsidRPr="00DC7099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A47CC0" w:rsidRPr="00DC7099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A47CC0" w:rsidRPr="00DC7099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A47CC0" w:rsidRPr="00DC7099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A47CC0" w:rsidRPr="00242A2E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A47CC0" w:rsidRPr="00242A2E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A47CC0" w:rsidRPr="00242A2E" w:rsidTr="00737A80">
        <w:tc>
          <w:tcPr>
            <w:tcW w:w="8723" w:type="dxa"/>
            <w:shd w:val="clear" w:color="auto" w:fill="auto"/>
            <w:vAlign w:val="bottom"/>
          </w:tcPr>
          <w:p w:rsidR="00A47CC0" w:rsidRPr="00242A2E" w:rsidRDefault="00A47CC0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737A8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737A80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A47CC0" w:rsidRPr="00242A2E" w:rsidRDefault="00A47CC0" w:rsidP="00A47CC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441A77" w:rsidRPr="00242A2E" w:rsidRDefault="00355E51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 xml:space="preserve">Principado de </w:t>
      </w:r>
      <w:r w:rsidR="00441A77" w:rsidRPr="00242A2E">
        <w:rPr>
          <w:rFonts w:ascii="Verdana" w:hAnsi="Verdana" w:cs="Calibri"/>
          <w:b/>
          <w:u w:val="single"/>
          <w:lang w:val="es-ES"/>
        </w:rPr>
        <w:t>Asturias</w:t>
      </w:r>
    </w:p>
    <w:p w:rsidR="00B90031" w:rsidRPr="00242A2E" w:rsidRDefault="00B90031" w:rsidP="007C067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 </w:t>
            </w:r>
            <w:r w:rsidR="00A14C5C"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3.º de </w:t>
            </w: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1F5E00" w:rsidRDefault="001F5E00" w:rsidP="00355E5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355E5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355E5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A14F8" w:rsidRDefault="006A14F8" w:rsidP="00355E5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355E51" w:rsidRPr="00242A2E" w:rsidRDefault="001F5E00" w:rsidP="00355E5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lastRenderedPageBreak/>
        <w:t>C</w:t>
      </w:r>
      <w:r w:rsidR="00355E51" w:rsidRPr="00242A2E">
        <w:rPr>
          <w:rFonts w:ascii="Verdana" w:hAnsi="Verdana" w:cs="Calibri"/>
          <w:b/>
          <w:u w:val="single"/>
          <w:lang w:val="es-ES"/>
        </w:rPr>
        <w:t>anarias</w:t>
      </w:r>
    </w:p>
    <w:p w:rsidR="00355E51" w:rsidRPr="00242A2E" w:rsidRDefault="00355E51" w:rsidP="00355E5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55E51" w:rsidRPr="00242A2E" w:rsidTr="00E249E4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355E51" w:rsidRPr="00242A2E" w:rsidRDefault="00355E51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Matemáticas </w:t>
            </w:r>
            <w:r w:rsidR="00DC4878" w:rsidRPr="00242A2E">
              <w:rPr>
                <w:rFonts w:ascii="Verdana" w:hAnsi="Verdana" w:cs="Calibri"/>
                <w:b/>
                <w:color w:val="FFFFFF"/>
                <w:lang w:val="es-ES"/>
              </w:rPr>
              <w:t>académicas</w:t>
            </w:r>
          </w:p>
        </w:tc>
      </w:tr>
      <w:tr w:rsidR="00DC4878" w:rsidRPr="00242A2E" w:rsidTr="00E249E4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DC4878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DC4878" w:rsidRPr="00242A2E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DC4878" w:rsidRPr="00242A2E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DC4878" w:rsidRPr="00242A2E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B170E9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DC4878" w:rsidRPr="00DC7099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DC4878" w:rsidRPr="00242A2E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DC4878" w:rsidRPr="00242A2E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DC4878" w:rsidRPr="00242A2E" w:rsidTr="00E249E4">
        <w:tc>
          <w:tcPr>
            <w:tcW w:w="8755" w:type="dxa"/>
            <w:shd w:val="clear" w:color="auto" w:fill="auto"/>
            <w:vAlign w:val="bottom"/>
          </w:tcPr>
          <w:p w:rsidR="00DC4878" w:rsidRPr="00242A2E" w:rsidRDefault="00DC487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E249E4">
        <w:tc>
          <w:tcPr>
            <w:tcW w:w="8755" w:type="dxa"/>
            <w:shd w:val="clear" w:color="auto" w:fill="auto"/>
            <w:vAlign w:val="bottom"/>
          </w:tcPr>
          <w:p w:rsidR="006A14F8" w:rsidRPr="00242A2E" w:rsidRDefault="006A14F8" w:rsidP="00DC5823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355E51" w:rsidRPr="00242A2E" w:rsidRDefault="00355E51" w:rsidP="00355E5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779D2" w:rsidRPr="00242A2E" w:rsidRDefault="001F5E00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Ca</w:t>
      </w:r>
      <w:r w:rsidR="00A779D2" w:rsidRPr="00242A2E">
        <w:rPr>
          <w:rFonts w:ascii="Verdana" w:hAnsi="Verdana" w:cs="Calibri"/>
          <w:b/>
          <w:u w:val="single"/>
          <w:lang w:val="es-ES"/>
        </w:rPr>
        <w:t>ntabria</w:t>
      </w:r>
    </w:p>
    <w:p w:rsidR="000D18DB" w:rsidRPr="00242A2E" w:rsidRDefault="000D18DB" w:rsidP="002B24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 3.º de 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355290" w:rsidRDefault="00355290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A14F8" w:rsidRDefault="006A14F8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A779D2" w:rsidRPr="00242A2E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lastRenderedPageBreak/>
        <w:t>Castilla-La Mancha</w:t>
      </w:r>
    </w:p>
    <w:p w:rsidR="005008BD" w:rsidRPr="00242A2E" w:rsidRDefault="005008BD" w:rsidP="00E10199">
      <w:pPr>
        <w:widowControl/>
        <w:spacing w:line="360" w:lineRule="auto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 </w:t>
            </w:r>
            <w:r w:rsidR="00A14C5C"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3.º de </w:t>
            </w: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A72CD6" w:rsidRPr="00242A2E" w:rsidRDefault="00A72CD6" w:rsidP="002B24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117C1" w:rsidRPr="00242A2E" w:rsidRDefault="00F117C1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Castilla y León</w:t>
      </w:r>
    </w:p>
    <w:p w:rsidR="00F117C1" w:rsidRPr="00242A2E" w:rsidRDefault="00F117C1" w:rsidP="002B24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 </w:t>
            </w:r>
            <w:r w:rsidR="00A14C5C"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3.º de </w:t>
            </w: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1006A1" w:rsidRPr="00242A2E" w:rsidRDefault="001006A1" w:rsidP="002B24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 w:rsidP="00302574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302574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A14F8" w:rsidRDefault="006A14F8" w:rsidP="00302574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8B468D" w:rsidRPr="00242A2E" w:rsidRDefault="009A510C" w:rsidP="00302574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lastRenderedPageBreak/>
        <w:t>Extremadura</w:t>
      </w:r>
    </w:p>
    <w:p w:rsidR="0020736E" w:rsidRPr="00242A2E" w:rsidRDefault="0020736E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E11690" w:rsidRPr="00242A2E" w:rsidRDefault="00E116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C5A4E" w:rsidRPr="00242A2E" w:rsidRDefault="006C5A4E" w:rsidP="00B9003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Galicia</w:t>
      </w:r>
    </w:p>
    <w:p w:rsidR="001F5E00" w:rsidRPr="00242A2E" w:rsidRDefault="001F5E00" w:rsidP="00B9003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A14C5C" w:rsidRDefault="00A14C5C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A14F8" w:rsidRDefault="006A14F8" w:rsidP="006C5A4E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C5A4E" w:rsidRPr="00242A2E" w:rsidRDefault="006C5A4E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lastRenderedPageBreak/>
        <w:t>Comunidad de Madrid</w:t>
      </w:r>
    </w:p>
    <w:p w:rsidR="00AF4C88" w:rsidRPr="00242A2E" w:rsidRDefault="00AF4C88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A14C5C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 3.º de </w:t>
            </w:r>
            <w:r w:rsidR="00DC4878" w:rsidRPr="00242A2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A14C5C" w:rsidRPr="00242A2E" w:rsidRDefault="00A14C5C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C5A4E" w:rsidRPr="00242A2E" w:rsidRDefault="006C5A4E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Región de Murcia</w:t>
      </w:r>
    </w:p>
    <w:p w:rsidR="007711EE" w:rsidRPr="00242A2E" w:rsidRDefault="007711EE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DC487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 </w:t>
            </w:r>
            <w:r w:rsidR="00A14C5C"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3.º de </w:t>
            </w: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355290" w:rsidRDefault="00355290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DC7099" w:rsidRDefault="00DC7099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A14F8" w:rsidRDefault="006A14F8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AB67FC" w:rsidRPr="00242A2E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lastRenderedPageBreak/>
        <w:t>Comunidad Foral de Navarra</w:t>
      </w:r>
    </w:p>
    <w:p w:rsidR="00485862" w:rsidRPr="00242A2E" w:rsidRDefault="00485862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DC4878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A14C5C" w:rsidRPr="00242A2E" w:rsidRDefault="00A14C5C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B67FC" w:rsidRPr="00242A2E" w:rsidRDefault="001F5E00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La</w:t>
      </w:r>
      <w:r w:rsidR="00AB67FC" w:rsidRPr="00242A2E">
        <w:rPr>
          <w:rFonts w:ascii="Verdana" w:hAnsi="Verdana" w:cs="Calibri"/>
          <w:b/>
          <w:u w:val="single"/>
          <w:lang w:val="es-ES"/>
        </w:rPr>
        <w:t xml:space="preserve"> Rioja</w:t>
      </w:r>
    </w:p>
    <w:p w:rsidR="00230011" w:rsidRPr="00242A2E" w:rsidRDefault="00230011" w:rsidP="0023001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1F5E00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A14C5C" w:rsidP="001F5E0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 xml:space="preserve">3.º de </w:t>
            </w:r>
            <w:r w:rsidR="001F5E00" w:rsidRPr="00242A2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302574" w:rsidRDefault="00302574" w:rsidP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 w:rsidP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 w:rsidP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 w:rsidP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Default="00DC7099" w:rsidP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C7099" w:rsidRPr="00242A2E" w:rsidRDefault="00DC7099" w:rsidP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B67FC" w:rsidRPr="00242A2E" w:rsidRDefault="00AB67FC" w:rsidP="00AB67FC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242A2E">
        <w:rPr>
          <w:rFonts w:ascii="Verdana" w:hAnsi="Verdana" w:cs="Calibri"/>
          <w:b/>
          <w:u w:val="single"/>
          <w:lang w:val="es-ES"/>
        </w:rPr>
        <w:t>Comunidad Valenciana</w:t>
      </w:r>
    </w:p>
    <w:p w:rsidR="00302574" w:rsidRPr="00242A2E" w:rsidRDefault="00302574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A14C5C" w:rsidRPr="00242A2E" w:rsidTr="0069527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A14C5C" w:rsidRPr="00242A2E" w:rsidRDefault="001F5E00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A14C5C" w:rsidRPr="00242A2E" w:rsidTr="0069527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A14C5C" w:rsidRPr="00242A2E" w:rsidRDefault="001F5E00" w:rsidP="0069527C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42A2E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355290" w:rsidRPr="00DC7099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355290" w:rsidRPr="00242A2E" w:rsidTr="00355290">
        <w:tc>
          <w:tcPr>
            <w:tcW w:w="8723" w:type="dxa"/>
            <w:shd w:val="clear" w:color="auto" w:fill="auto"/>
            <w:vAlign w:val="bottom"/>
          </w:tcPr>
          <w:p w:rsidR="00355290" w:rsidRPr="00242A2E" w:rsidRDefault="00355290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242A2E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6A14F8" w:rsidRPr="00242A2E" w:rsidTr="00355290">
        <w:tc>
          <w:tcPr>
            <w:tcW w:w="8723" w:type="dxa"/>
            <w:shd w:val="clear" w:color="auto" w:fill="auto"/>
            <w:vAlign w:val="bottom"/>
          </w:tcPr>
          <w:p w:rsidR="006A14F8" w:rsidRPr="00242A2E" w:rsidRDefault="006A14F8" w:rsidP="0069527C">
            <w:pPr>
              <w:widowControl/>
              <w:rPr>
                <w:rFonts w:ascii="Verdana" w:hAnsi="Verdana" w:cs="Calibri"/>
                <w:lang w:val="es-ES"/>
              </w:rPr>
            </w:pPr>
            <w:r w:rsidRPr="006A14F8">
              <w:rPr>
                <w:rFonts w:ascii="Verdana" w:hAnsi="Verdana" w:cs="Calibri"/>
                <w:lang w:val="es-ES"/>
              </w:rPr>
              <w:t>Proyecto: Trotamundos</w:t>
            </w:r>
            <w:bookmarkStart w:id="0" w:name="_GoBack"/>
            <w:bookmarkEnd w:id="0"/>
          </w:p>
        </w:tc>
      </w:tr>
    </w:tbl>
    <w:p w:rsidR="00A14C5C" w:rsidRPr="00242A2E" w:rsidRDefault="00A14C5C" w:rsidP="001F5E0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55290" w:rsidRPr="00242A2E" w:rsidRDefault="003552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sectPr w:rsidR="00355290" w:rsidRPr="00242A2E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D00" w:rsidRDefault="008B1D00">
      <w:r>
        <w:separator/>
      </w:r>
    </w:p>
  </w:endnote>
  <w:endnote w:type="continuationSeparator" w:id="0">
    <w:p w:rsidR="008B1D00" w:rsidRDefault="008B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7C" w:rsidRDefault="008B1D0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02" o:spid="_x0000_s2050" type="#_x0000_t75" alt="Description: triangulos_sociales" style="position:absolute;margin-left:-100.2pt;margin-top:-168pt;width:132pt;height:224.25pt;z-index:-1;visibility:visible">
          <v:imagedata r:id="rId1" o:title="triangulos_sociales" croptop="25217f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049" type="#_x0000_t202" style="position:absolute;margin-left:535.4pt;margin-top:801.05pt;width:16.2pt;height:14.2pt;z-index:-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0t2rECAACz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" filled="f" stroked="f">
          <v:textbox inset="0,0,0,0">
            <w:txbxContent>
              <w:p w:rsidR="0069527C" w:rsidRDefault="00030FF7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69527C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6A14F8">
                  <w:rPr>
                    <w:noProof/>
                    <w:color w:val="00AEEF"/>
                    <w:sz w:val="26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D00" w:rsidRDefault="008B1D00">
      <w:r>
        <w:separator/>
      </w:r>
    </w:p>
  </w:footnote>
  <w:footnote w:type="continuationSeparator" w:id="0">
    <w:p w:rsidR="008B1D00" w:rsidRDefault="008B1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7C" w:rsidRDefault="008B1D00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051" style="position:absolute;margin-left:414.55pt;margin-top:28.35pt;width:124pt;height:20pt;z-index:-3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" o:allowincell="f" filled="f" stroked="f">
          <v:textbox inset="0,0,0,0">
            <w:txbxContent>
              <w:p w:rsidR="0069527C" w:rsidRDefault="008B1D00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5" type="#_x0000_t75" style="width:123.75pt;height:20.25pt;visibility:visible">
                      <v:imagedata r:id="rId1" o:title=""/>
                    </v:shape>
                  </w:pict>
                </w:r>
              </w:p>
              <w:p w:rsidR="0069527C" w:rsidRDefault="0069527C" w:rsidP="00121796"/>
            </w:txbxContent>
          </v:textbox>
          <w10:wrap anchorx="page" anchory="page"/>
        </v:rect>
      </w:pict>
    </w:r>
  </w:p>
  <w:p w:rsidR="0069527C" w:rsidRPr="00A521B1" w:rsidRDefault="0069527C" w:rsidP="00A52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 w:hint="default"/>
        <w:lang w:val="es-E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  <w:lang w:val="es-ES"/>
      </w:rPr>
    </w:lvl>
  </w:abstractNum>
  <w:abstractNum w:abstractNumId="2" w15:restartNumberingAfterBreak="0">
    <w:nsid w:val="003B1543"/>
    <w:multiLevelType w:val="hybridMultilevel"/>
    <w:tmpl w:val="45DA45DE"/>
    <w:lvl w:ilvl="0" w:tplc="CF6C12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4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14EC"/>
    <w:multiLevelType w:val="hybridMultilevel"/>
    <w:tmpl w:val="38207864"/>
    <w:lvl w:ilvl="0" w:tplc="412ECD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1F9B"/>
    <w:multiLevelType w:val="hybridMultilevel"/>
    <w:tmpl w:val="8D465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9" w15:restartNumberingAfterBreak="0">
    <w:nsid w:val="5D472C16"/>
    <w:multiLevelType w:val="hybridMultilevel"/>
    <w:tmpl w:val="EFEE0132"/>
    <w:lvl w:ilvl="0" w:tplc="CF6C12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54073"/>
    <w:multiLevelType w:val="hybridMultilevel"/>
    <w:tmpl w:val="8F7298F8"/>
    <w:lvl w:ilvl="0" w:tplc="412EC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17DC"/>
    <w:rsid w:val="00006D9C"/>
    <w:rsid w:val="00007C8F"/>
    <w:rsid w:val="00011464"/>
    <w:rsid w:val="0001642C"/>
    <w:rsid w:val="00021AF2"/>
    <w:rsid w:val="00030FF7"/>
    <w:rsid w:val="000334EB"/>
    <w:rsid w:val="000362B7"/>
    <w:rsid w:val="000414A0"/>
    <w:rsid w:val="00045317"/>
    <w:rsid w:val="00047A7F"/>
    <w:rsid w:val="000502CE"/>
    <w:rsid w:val="000538D8"/>
    <w:rsid w:val="00054DE3"/>
    <w:rsid w:val="00067E5B"/>
    <w:rsid w:val="0007490F"/>
    <w:rsid w:val="00076847"/>
    <w:rsid w:val="00077D52"/>
    <w:rsid w:val="0009530E"/>
    <w:rsid w:val="00096678"/>
    <w:rsid w:val="000A1BA0"/>
    <w:rsid w:val="000A71BA"/>
    <w:rsid w:val="000A7D8F"/>
    <w:rsid w:val="000A7E83"/>
    <w:rsid w:val="000A7FA1"/>
    <w:rsid w:val="000B2ABB"/>
    <w:rsid w:val="000B3308"/>
    <w:rsid w:val="000B52A3"/>
    <w:rsid w:val="000C10A6"/>
    <w:rsid w:val="000C3024"/>
    <w:rsid w:val="000C44B0"/>
    <w:rsid w:val="000C5329"/>
    <w:rsid w:val="000D18DB"/>
    <w:rsid w:val="000D2C05"/>
    <w:rsid w:val="000D4B5D"/>
    <w:rsid w:val="000E6D95"/>
    <w:rsid w:val="000F1434"/>
    <w:rsid w:val="000F1CFA"/>
    <w:rsid w:val="001006A1"/>
    <w:rsid w:val="001020E9"/>
    <w:rsid w:val="0010748C"/>
    <w:rsid w:val="00112B34"/>
    <w:rsid w:val="001135AF"/>
    <w:rsid w:val="00116448"/>
    <w:rsid w:val="00121796"/>
    <w:rsid w:val="00122363"/>
    <w:rsid w:val="00123BCD"/>
    <w:rsid w:val="00135D1D"/>
    <w:rsid w:val="00143634"/>
    <w:rsid w:val="00145F08"/>
    <w:rsid w:val="00150FCE"/>
    <w:rsid w:val="001525D9"/>
    <w:rsid w:val="00154C61"/>
    <w:rsid w:val="00157094"/>
    <w:rsid w:val="00162A20"/>
    <w:rsid w:val="00164807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869DB"/>
    <w:rsid w:val="001909C8"/>
    <w:rsid w:val="001947DC"/>
    <w:rsid w:val="00197192"/>
    <w:rsid w:val="001A3ED3"/>
    <w:rsid w:val="001B20A2"/>
    <w:rsid w:val="001B20D7"/>
    <w:rsid w:val="001C0D2B"/>
    <w:rsid w:val="001C295F"/>
    <w:rsid w:val="001D65CF"/>
    <w:rsid w:val="001E5BF6"/>
    <w:rsid w:val="001E71A0"/>
    <w:rsid w:val="001F2DD9"/>
    <w:rsid w:val="001F35EA"/>
    <w:rsid w:val="001F5397"/>
    <w:rsid w:val="001F5E00"/>
    <w:rsid w:val="00201C30"/>
    <w:rsid w:val="002047CA"/>
    <w:rsid w:val="00205ADD"/>
    <w:rsid w:val="0020736E"/>
    <w:rsid w:val="00207C1D"/>
    <w:rsid w:val="00213E56"/>
    <w:rsid w:val="0022640A"/>
    <w:rsid w:val="00226CAD"/>
    <w:rsid w:val="0022732A"/>
    <w:rsid w:val="00227C39"/>
    <w:rsid w:val="00230011"/>
    <w:rsid w:val="00234B5E"/>
    <w:rsid w:val="0023790F"/>
    <w:rsid w:val="002420E2"/>
    <w:rsid w:val="00242A2E"/>
    <w:rsid w:val="0024466D"/>
    <w:rsid w:val="00246F4A"/>
    <w:rsid w:val="00247E6C"/>
    <w:rsid w:val="002503D2"/>
    <w:rsid w:val="0025709F"/>
    <w:rsid w:val="00260670"/>
    <w:rsid w:val="00262170"/>
    <w:rsid w:val="00264FA6"/>
    <w:rsid w:val="002715A3"/>
    <w:rsid w:val="00276003"/>
    <w:rsid w:val="00281C87"/>
    <w:rsid w:val="00283809"/>
    <w:rsid w:val="00287E34"/>
    <w:rsid w:val="00293286"/>
    <w:rsid w:val="002933C0"/>
    <w:rsid w:val="00295C18"/>
    <w:rsid w:val="00296B2C"/>
    <w:rsid w:val="002A26D3"/>
    <w:rsid w:val="002A59B6"/>
    <w:rsid w:val="002B1293"/>
    <w:rsid w:val="002B1CE8"/>
    <w:rsid w:val="002B2437"/>
    <w:rsid w:val="002B3C1A"/>
    <w:rsid w:val="002B7DC2"/>
    <w:rsid w:val="002C213A"/>
    <w:rsid w:val="002C6FA0"/>
    <w:rsid w:val="002D1E84"/>
    <w:rsid w:val="002D4427"/>
    <w:rsid w:val="002D4E36"/>
    <w:rsid w:val="002D736C"/>
    <w:rsid w:val="002E303F"/>
    <w:rsid w:val="002E626E"/>
    <w:rsid w:val="002F1FDA"/>
    <w:rsid w:val="002F60FD"/>
    <w:rsid w:val="002F6C95"/>
    <w:rsid w:val="00301500"/>
    <w:rsid w:val="00302574"/>
    <w:rsid w:val="00302DA6"/>
    <w:rsid w:val="00303236"/>
    <w:rsid w:val="00304494"/>
    <w:rsid w:val="00310AE6"/>
    <w:rsid w:val="0031117C"/>
    <w:rsid w:val="003113D6"/>
    <w:rsid w:val="00311B10"/>
    <w:rsid w:val="003138B5"/>
    <w:rsid w:val="00313FDA"/>
    <w:rsid w:val="00317BC5"/>
    <w:rsid w:val="00322FD7"/>
    <w:rsid w:val="00324012"/>
    <w:rsid w:val="00334B4E"/>
    <w:rsid w:val="00341E37"/>
    <w:rsid w:val="003466CF"/>
    <w:rsid w:val="00347216"/>
    <w:rsid w:val="00350DDE"/>
    <w:rsid w:val="0035381B"/>
    <w:rsid w:val="00355290"/>
    <w:rsid w:val="00355E51"/>
    <w:rsid w:val="00355F86"/>
    <w:rsid w:val="00363585"/>
    <w:rsid w:val="00370875"/>
    <w:rsid w:val="003739EE"/>
    <w:rsid w:val="0037653C"/>
    <w:rsid w:val="00392B36"/>
    <w:rsid w:val="0039302A"/>
    <w:rsid w:val="003977EF"/>
    <w:rsid w:val="003A3B53"/>
    <w:rsid w:val="003A3BBA"/>
    <w:rsid w:val="003A4310"/>
    <w:rsid w:val="003A4FF2"/>
    <w:rsid w:val="003A7250"/>
    <w:rsid w:val="003A76F0"/>
    <w:rsid w:val="003B14B3"/>
    <w:rsid w:val="003B3584"/>
    <w:rsid w:val="003B5FD9"/>
    <w:rsid w:val="003B7BE1"/>
    <w:rsid w:val="003C26E4"/>
    <w:rsid w:val="003C3454"/>
    <w:rsid w:val="003C73FC"/>
    <w:rsid w:val="003D43CA"/>
    <w:rsid w:val="003D4F38"/>
    <w:rsid w:val="003D5E3A"/>
    <w:rsid w:val="003D6DD9"/>
    <w:rsid w:val="003E055E"/>
    <w:rsid w:val="003E5389"/>
    <w:rsid w:val="003F06C5"/>
    <w:rsid w:val="003F451A"/>
    <w:rsid w:val="00405E22"/>
    <w:rsid w:val="00407393"/>
    <w:rsid w:val="00414A1F"/>
    <w:rsid w:val="00432C49"/>
    <w:rsid w:val="00433282"/>
    <w:rsid w:val="00440B38"/>
    <w:rsid w:val="00441A77"/>
    <w:rsid w:val="00441BCD"/>
    <w:rsid w:val="004430BE"/>
    <w:rsid w:val="00444B86"/>
    <w:rsid w:val="004454F8"/>
    <w:rsid w:val="00447403"/>
    <w:rsid w:val="00455BF4"/>
    <w:rsid w:val="00456A50"/>
    <w:rsid w:val="00457182"/>
    <w:rsid w:val="00461B45"/>
    <w:rsid w:val="00462E10"/>
    <w:rsid w:val="00464E8F"/>
    <w:rsid w:val="00464ED3"/>
    <w:rsid w:val="00465711"/>
    <w:rsid w:val="0047011A"/>
    <w:rsid w:val="00471836"/>
    <w:rsid w:val="00471B7F"/>
    <w:rsid w:val="00480411"/>
    <w:rsid w:val="00485862"/>
    <w:rsid w:val="004865CF"/>
    <w:rsid w:val="00492AB2"/>
    <w:rsid w:val="00492B59"/>
    <w:rsid w:val="00495951"/>
    <w:rsid w:val="004968E4"/>
    <w:rsid w:val="004B27C9"/>
    <w:rsid w:val="004B73AB"/>
    <w:rsid w:val="004C16F9"/>
    <w:rsid w:val="004C7780"/>
    <w:rsid w:val="004D1D84"/>
    <w:rsid w:val="004D26D6"/>
    <w:rsid w:val="004D54F5"/>
    <w:rsid w:val="004E17CD"/>
    <w:rsid w:val="004E3EC6"/>
    <w:rsid w:val="004E4306"/>
    <w:rsid w:val="004F2D2B"/>
    <w:rsid w:val="004F393E"/>
    <w:rsid w:val="004F3AE4"/>
    <w:rsid w:val="005008BD"/>
    <w:rsid w:val="00502862"/>
    <w:rsid w:val="0050558C"/>
    <w:rsid w:val="00506DC0"/>
    <w:rsid w:val="00515543"/>
    <w:rsid w:val="00516D5E"/>
    <w:rsid w:val="00533895"/>
    <w:rsid w:val="00533DC2"/>
    <w:rsid w:val="005343B2"/>
    <w:rsid w:val="005358B6"/>
    <w:rsid w:val="00535D40"/>
    <w:rsid w:val="00537282"/>
    <w:rsid w:val="005422AB"/>
    <w:rsid w:val="00545968"/>
    <w:rsid w:val="00545EBA"/>
    <w:rsid w:val="0054701A"/>
    <w:rsid w:val="00547A04"/>
    <w:rsid w:val="005506B0"/>
    <w:rsid w:val="00556256"/>
    <w:rsid w:val="005634C0"/>
    <w:rsid w:val="00563C9A"/>
    <w:rsid w:val="005671C4"/>
    <w:rsid w:val="00570236"/>
    <w:rsid w:val="005711E1"/>
    <w:rsid w:val="0057676D"/>
    <w:rsid w:val="00577A24"/>
    <w:rsid w:val="0058041B"/>
    <w:rsid w:val="00585FE9"/>
    <w:rsid w:val="00591418"/>
    <w:rsid w:val="00594152"/>
    <w:rsid w:val="005A0572"/>
    <w:rsid w:val="005B0113"/>
    <w:rsid w:val="005B49B0"/>
    <w:rsid w:val="005C0522"/>
    <w:rsid w:val="005C4F61"/>
    <w:rsid w:val="005C611D"/>
    <w:rsid w:val="005D0A53"/>
    <w:rsid w:val="005D3198"/>
    <w:rsid w:val="005D3F00"/>
    <w:rsid w:val="005D60B8"/>
    <w:rsid w:val="005E333E"/>
    <w:rsid w:val="005E5907"/>
    <w:rsid w:val="005F1AFF"/>
    <w:rsid w:val="005F3AB7"/>
    <w:rsid w:val="005F5889"/>
    <w:rsid w:val="00602CA9"/>
    <w:rsid w:val="00606FEA"/>
    <w:rsid w:val="006100E4"/>
    <w:rsid w:val="006113FC"/>
    <w:rsid w:val="00614BFB"/>
    <w:rsid w:val="00620A9C"/>
    <w:rsid w:val="00623F70"/>
    <w:rsid w:val="00635666"/>
    <w:rsid w:val="00643073"/>
    <w:rsid w:val="0064379A"/>
    <w:rsid w:val="0064639C"/>
    <w:rsid w:val="00655E5F"/>
    <w:rsid w:val="006636DA"/>
    <w:rsid w:val="0066370C"/>
    <w:rsid w:val="00663BF7"/>
    <w:rsid w:val="006641CD"/>
    <w:rsid w:val="006713EC"/>
    <w:rsid w:val="00673445"/>
    <w:rsid w:val="006839F4"/>
    <w:rsid w:val="00683FED"/>
    <w:rsid w:val="00684DA3"/>
    <w:rsid w:val="00685A67"/>
    <w:rsid w:val="00692FB3"/>
    <w:rsid w:val="00694217"/>
    <w:rsid w:val="0069527C"/>
    <w:rsid w:val="006A0857"/>
    <w:rsid w:val="006A14F8"/>
    <w:rsid w:val="006A2DDA"/>
    <w:rsid w:val="006A7BAF"/>
    <w:rsid w:val="006B1546"/>
    <w:rsid w:val="006B68DB"/>
    <w:rsid w:val="006C4CAE"/>
    <w:rsid w:val="006C5A4E"/>
    <w:rsid w:val="006C74EB"/>
    <w:rsid w:val="006C7CCB"/>
    <w:rsid w:val="006D4D89"/>
    <w:rsid w:val="006D73BB"/>
    <w:rsid w:val="006E280D"/>
    <w:rsid w:val="006F7467"/>
    <w:rsid w:val="006F7B09"/>
    <w:rsid w:val="0071009D"/>
    <w:rsid w:val="00713AEC"/>
    <w:rsid w:val="00716DF7"/>
    <w:rsid w:val="007176F5"/>
    <w:rsid w:val="007271C8"/>
    <w:rsid w:val="007303A3"/>
    <w:rsid w:val="00737424"/>
    <w:rsid w:val="007530DD"/>
    <w:rsid w:val="007556DA"/>
    <w:rsid w:val="00766812"/>
    <w:rsid w:val="007711EE"/>
    <w:rsid w:val="00777DA6"/>
    <w:rsid w:val="00780BB2"/>
    <w:rsid w:val="00780C54"/>
    <w:rsid w:val="00793729"/>
    <w:rsid w:val="00796D0F"/>
    <w:rsid w:val="007A4CD1"/>
    <w:rsid w:val="007A6F67"/>
    <w:rsid w:val="007B629F"/>
    <w:rsid w:val="007B71E6"/>
    <w:rsid w:val="007C067F"/>
    <w:rsid w:val="007C39F3"/>
    <w:rsid w:val="007C4AB7"/>
    <w:rsid w:val="007C77F7"/>
    <w:rsid w:val="007D1546"/>
    <w:rsid w:val="007D1A79"/>
    <w:rsid w:val="007D6432"/>
    <w:rsid w:val="007E449D"/>
    <w:rsid w:val="007F00E9"/>
    <w:rsid w:val="007F7F90"/>
    <w:rsid w:val="00800B11"/>
    <w:rsid w:val="00807C40"/>
    <w:rsid w:val="0081159F"/>
    <w:rsid w:val="008131E4"/>
    <w:rsid w:val="00830862"/>
    <w:rsid w:val="00835824"/>
    <w:rsid w:val="00844E0D"/>
    <w:rsid w:val="008466E0"/>
    <w:rsid w:val="0085017E"/>
    <w:rsid w:val="008506F4"/>
    <w:rsid w:val="00850A88"/>
    <w:rsid w:val="00852143"/>
    <w:rsid w:val="0085245E"/>
    <w:rsid w:val="0086035D"/>
    <w:rsid w:val="008637BF"/>
    <w:rsid w:val="00867678"/>
    <w:rsid w:val="00875797"/>
    <w:rsid w:val="00887BE7"/>
    <w:rsid w:val="008914ED"/>
    <w:rsid w:val="00893443"/>
    <w:rsid w:val="00896DCC"/>
    <w:rsid w:val="008A0FE3"/>
    <w:rsid w:val="008B1D00"/>
    <w:rsid w:val="008B358A"/>
    <w:rsid w:val="008B468D"/>
    <w:rsid w:val="008B7500"/>
    <w:rsid w:val="008B7D07"/>
    <w:rsid w:val="008C07A2"/>
    <w:rsid w:val="008C5A3E"/>
    <w:rsid w:val="008C7456"/>
    <w:rsid w:val="008D3737"/>
    <w:rsid w:val="008E1E1B"/>
    <w:rsid w:val="008E39FF"/>
    <w:rsid w:val="008E42B2"/>
    <w:rsid w:val="008F202B"/>
    <w:rsid w:val="008F4014"/>
    <w:rsid w:val="009021DE"/>
    <w:rsid w:val="00904A1E"/>
    <w:rsid w:val="00906F2E"/>
    <w:rsid w:val="00907BF6"/>
    <w:rsid w:val="009113FB"/>
    <w:rsid w:val="009124CB"/>
    <w:rsid w:val="00914D39"/>
    <w:rsid w:val="0091535B"/>
    <w:rsid w:val="009159C0"/>
    <w:rsid w:val="009160FD"/>
    <w:rsid w:val="009212C8"/>
    <w:rsid w:val="00921991"/>
    <w:rsid w:val="00924BA6"/>
    <w:rsid w:val="00927A19"/>
    <w:rsid w:val="00930380"/>
    <w:rsid w:val="009321FB"/>
    <w:rsid w:val="0093302A"/>
    <w:rsid w:val="009352F9"/>
    <w:rsid w:val="00937B65"/>
    <w:rsid w:val="00940E2F"/>
    <w:rsid w:val="00943891"/>
    <w:rsid w:val="00944A5B"/>
    <w:rsid w:val="009476D4"/>
    <w:rsid w:val="00953ED6"/>
    <w:rsid w:val="009609B1"/>
    <w:rsid w:val="00961138"/>
    <w:rsid w:val="00962701"/>
    <w:rsid w:val="0096696F"/>
    <w:rsid w:val="00973AE9"/>
    <w:rsid w:val="009745C3"/>
    <w:rsid w:val="009769FA"/>
    <w:rsid w:val="00982A7E"/>
    <w:rsid w:val="00984B5C"/>
    <w:rsid w:val="00985068"/>
    <w:rsid w:val="00986F83"/>
    <w:rsid w:val="00991B1B"/>
    <w:rsid w:val="00994D70"/>
    <w:rsid w:val="00997C4F"/>
    <w:rsid w:val="009A317F"/>
    <w:rsid w:val="009A510C"/>
    <w:rsid w:val="009B26BB"/>
    <w:rsid w:val="009B4C8F"/>
    <w:rsid w:val="009C01AC"/>
    <w:rsid w:val="009C2008"/>
    <w:rsid w:val="009C2234"/>
    <w:rsid w:val="009D00E9"/>
    <w:rsid w:val="009D63CD"/>
    <w:rsid w:val="009E4AC3"/>
    <w:rsid w:val="009E5BBD"/>
    <w:rsid w:val="009E6B0D"/>
    <w:rsid w:val="009F0087"/>
    <w:rsid w:val="009F39D5"/>
    <w:rsid w:val="009F45D8"/>
    <w:rsid w:val="009F4C24"/>
    <w:rsid w:val="009F68F6"/>
    <w:rsid w:val="00A000D9"/>
    <w:rsid w:val="00A00CFC"/>
    <w:rsid w:val="00A01150"/>
    <w:rsid w:val="00A02CAE"/>
    <w:rsid w:val="00A03A0E"/>
    <w:rsid w:val="00A11BD4"/>
    <w:rsid w:val="00A14C5C"/>
    <w:rsid w:val="00A26DB1"/>
    <w:rsid w:val="00A31A82"/>
    <w:rsid w:val="00A36682"/>
    <w:rsid w:val="00A4075A"/>
    <w:rsid w:val="00A417F6"/>
    <w:rsid w:val="00A4184D"/>
    <w:rsid w:val="00A42E8A"/>
    <w:rsid w:val="00A4546F"/>
    <w:rsid w:val="00A47CC0"/>
    <w:rsid w:val="00A521B1"/>
    <w:rsid w:val="00A56044"/>
    <w:rsid w:val="00A5629F"/>
    <w:rsid w:val="00A57FA4"/>
    <w:rsid w:val="00A60A92"/>
    <w:rsid w:val="00A6255B"/>
    <w:rsid w:val="00A66F16"/>
    <w:rsid w:val="00A72CD6"/>
    <w:rsid w:val="00A72E21"/>
    <w:rsid w:val="00A7510B"/>
    <w:rsid w:val="00A779D2"/>
    <w:rsid w:val="00A80B7F"/>
    <w:rsid w:val="00A829B6"/>
    <w:rsid w:val="00A83677"/>
    <w:rsid w:val="00A85173"/>
    <w:rsid w:val="00A9042D"/>
    <w:rsid w:val="00A933BA"/>
    <w:rsid w:val="00A94E70"/>
    <w:rsid w:val="00A95042"/>
    <w:rsid w:val="00A968D9"/>
    <w:rsid w:val="00AA0902"/>
    <w:rsid w:val="00AA0D97"/>
    <w:rsid w:val="00AA4123"/>
    <w:rsid w:val="00AB07EE"/>
    <w:rsid w:val="00AB24EE"/>
    <w:rsid w:val="00AB67FC"/>
    <w:rsid w:val="00AC3900"/>
    <w:rsid w:val="00AC48FF"/>
    <w:rsid w:val="00AC5681"/>
    <w:rsid w:val="00AC672A"/>
    <w:rsid w:val="00AC70E6"/>
    <w:rsid w:val="00AD0FB4"/>
    <w:rsid w:val="00AD1C94"/>
    <w:rsid w:val="00AD4242"/>
    <w:rsid w:val="00AD5162"/>
    <w:rsid w:val="00AD6C63"/>
    <w:rsid w:val="00AE013B"/>
    <w:rsid w:val="00AF00DD"/>
    <w:rsid w:val="00AF4C88"/>
    <w:rsid w:val="00B01CD1"/>
    <w:rsid w:val="00B04F29"/>
    <w:rsid w:val="00B05836"/>
    <w:rsid w:val="00B07A56"/>
    <w:rsid w:val="00B13370"/>
    <w:rsid w:val="00B170E9"/>
    <w:rsid w:val="00B23205"/>
    <w:rsid w:val="00B249B4"/>
    <w:rsid w:val="00B26372"/>
    <w:rsid w:val="00B300F8"/>
    <w:rsid w:val="00B31742"/>
    <w:rsid w:val="00B320B1"/>
    <w:rsid w:val="00B321DB"/>
    <w:rsid w:val="00B4567F"/>
    <w:rsid w:val="00B624EC"/>
    <w:rsid w:val="00B64997"/>
    <w:rsid w:val="00B6633D"/>
    <w:rsid w:val="00B66944"/>
    <w:rsid w:val="00B7017D"/>
    <w:rsid w:val="00B73466"/>
    <w:rsid w:val="00B73D32"/>
    <w:rsid w:val="00B74158"/>
    <w:rsid w:val="00B74614"/>
    <w:rsid w:val="00B8369A"/>
    <w:rsid w:val="00B85FC9"/>
    <w:rsid w:val="00B90031"/>
    <w:rsid w:val="00B91B24"/>
    <w:rsid w:val="00B9390E"/>
    <w:rsid w:val="00B96773"/>
    <w:rsid w:val="00BA636F"/>
    <w:rsid w:val="00BA73BC"/>
    <w:rsid w:val="00BB0D02"/>
    <w:rsid w:val="00BB2FD0"/>
    <w:rsid w:val="00BC1062"/>
    <w:rsid w:val="00BC26BC"/>
    <w:rsid w:val="00BC3EEE"/>
    <w:rsid w:val="00BC7AA0"/>
    <w:rsid w:val="00BD25A6"/>
    <w:rsid w:val="00BD3C4D"/>
    <w:rsid w:val="00BE4241"/>
    <w:rsid w:val="00BE68B4"/>
    <w:rsid w:val="00C0004B"/>
    <w:rsid w:val="00C00986"/>
    <w:rsid w:val="00C05345"/>
    <w:rsid w:val="00C0631F"/>
    <w:rsid w:val="00C0760E"/>
    <w:rsid w:val="00C079FB"/>
    <w:rsid w:val="00C110D5"/>
    <w:rsid w:val="00C13AAC"/>
    <w:rsid w:val="00C13D23"/>
    <w:rsid w:val="00C22421"/>
    <w:rsid w:val="00C35BC2"/>
    <w:rsid w:val="00C40D8A"/>
    <w:rsid w:val="00C43586"/>
    <w:rsid w:val="00C438C5"/>
    <w:rsid w:val="00C5016C"/>
    <w:rsid w:val="00C509CF"/>
    <w:rsid w:val="00C531BB"/>
    <w:rsid w:val="00C602AE"/>
    <w:rsid w:val="00C606E7"/>
    <w:rsid w:val="00C67F12"/>
    <w:rsid w:val="00C73FBB"/>
    <w:rsid w:val="00C748E6"/>
    <w:rsid w:val="00C74DCF"/>
    <w:rsid w:val="00C75554"/>
    <w:rsid w:val="00C825BB"/>
    <w:rsid w:val="00C8402D"/>
    <w:rsid w:val="00C874D0"/>
    <w:rsid w:val="00C91519"/>
    <w:rsid w:val="00C96A0E"/>
    <w:rsid w:val="00C96A27"/>
    <w:rsid w:val="00CA294B"/>
    <w:rsid w:val="00CB1DD3"/>
    <w:rsid w:val="00CC1E19"/>
    <w:rsid w:val="00CC2AA4"/>
    <w:rsid w:val="00CC7B12"/>
    <w:rsid w:val="00CD1A1C"/>
    <w:rsid w:val="00CD31BF"/>
    <w:rsid w:val="00CD4469"/>
    <w:rsid w:val="00CE242E"/>
    <w:rsid w:val="00CE2E79"/>
    <w:rsid w:val="00CE3AA7"/>
    <w:rsid w:val="00CF02B5"/>
    <w:rsid w:val="00CF0727"/>
    <w:rsid w:val="00CF2AAF"/>
    <w:rsid w:val="00CF2E42"/>
    <w:rsid w:val="00CF43D6"/>
    <w:rsid w:val="00CF666F"/>
    <w:rsid w:val="00CF7CAE"/>
    <w:rsid w:val="00D013BA"/>
    <w:rsid w:val="00D1484B"/>
    <w:rsid w:val="00D157D3"/>
    <w:rsid w:val="00D177CC"/>
    <w:rsid w:val="00D256F4"/>
    <w:rsid w:val="00D32525"/>
    <w:rsid w:val="00D4100F"/>
    <w:rsid w:val="00D41128"/>
    <w:rsid w:val="00D442A6"/>
    <w:rsid w:val="00D4490F"/>
    <w:rsid w:val="00D53442"/>
    <w:rsid w:val="00D56590"/>
    <w:rsid w:val="00D617D2"/>
    <w:rsid w:val="00D72115"/>
    <w:rsid w:val="00D72159"/>
    <w:rsid w:val="00D75F5F"/>
    <w:rsid w:val="00D77E38"/>
    <w:rsid w:val="00D80351"/>
    <w:rsid w:val="00D80A21"/>
    <w:rsid w:val="00D859A7"/>
    <w:rsid w:val="00D93427"/>
    <w:rsid w:val="00D948C1"/>
    <w:rsid w:val="00D9613E"/>
    <w:rsid w:val="00DA26B7"/>
    <w:rsid w:val="00DA2AD6"/>
    <w:rsid w:val="00DA7B4A"/>
    <w:rsid w:val="00DB71CA"/>
    <w:rsid w:val="00DC38A4"/>
    <w:rsid w:val="00DC4878"/>
    <w:rsid w:val="00DC5823"/>
    <w:rsid w:val="00DC7099"/>
    <w:rsid w:val="00DD26D4"/>
    <w:rsid w:val="00DE5556"/>
    <w:rsid w:val="00DF694A"/>
    <w:rsid w:val="00E035FA"/>
    <w:rsid w:val="00E043DE"/>
    <w:rsid w:val="00E10199"/>
    <w:rsid w:val="00E11690"/>
    <w:rsid w:val="00E11AD3"/>
    <w:rsid w:val="00E122DB"/>
    <w:rsid w:val="00E13B2E"/>
    <w:rsid w:val="00E20C4B"/>
    <w:rsid w:val="00E249E4"/>
    <w:rsid w:val="00E33555"/>
    <w:rsid w:val="00E33FFA"/>
    <w:rsid w:val="00E340A0"/>
    <w:rsid w:val="00E46797"/>
    <w:rsid w:val="00E476DC"/>
    <w:rsid w:val="00E52589"/>
    <w:rsid w:val="00E55DBD"/>
    <w:rsid w:val="00E65E37"/>
    <w:rsid w:val="00E66F1F"/>
    <w:rsid w:val="00E70648"/>
    <w:rsid w:val="00E71B1F"/>
    <w:rsid w:val="00E77CD2"/>
    <w:rsid w:val="00E87788"/>
    <w:rsid w:val="00E905EF"/>
    <w:rsid w:val="00E95D8B"/>
    <w:rsid w:val="00E97725"/>
    <w:rsid w:val="00EA1DC3"/>
    <w:rsid w:val="00EA2820"/>
    <w:rsid w:val="00EB0032"/>
    <w:rsid w:val="00EB3425"/>
    <w:rsid w:val="00EB7314"/>
    <w:rsid w:val="00EB7A5C"/>
    <w:rsid w:val="00ED11E5"/>
    <w:rsid w:val="00ED23CD"/>
    <w:rsid w:val="00ED48E9"/>
    <w:rsid w:val="00ED512E"/>
    <w:rsid w:val="00EE3950"/>
    <w:rsid w:val="00EE58EE"/>
    <w:rsid w:val="00EE7833"/>
    <w:rsid w:val="00EF1159"/>
    <w:rsid w:val="00F05C2F"/>
    <w:rsid w:val="00F07CC8"/>
    <w:rsid w:val="00F117C1"/>
    <w:rsid w:val="00F11B4D"/>
    <w:rsid w:val="00F12F04"/>
    <w:rsid w:val="00F20109"/>
    <w:rsid w:val="00F20882"/>
    <w:rsid w:val="00F20E26"/>
    <w:rsid w:val="00F22B23"/>
    <w:rsid w:val="00F25E4E"/>
    <w:rsid w:val="00F26D30"/>
    <w:rsid w:val="00F3099A"/>
    <w:rsid w:val="00F328C1"/>
    <w:rsid w:val="00F36DCF"/>
    <w:rsid w:val="00F46254"/>
    <w:rsid w:val="00F47074"/>
    <w:rsid w:val="00F535CE"/>
    <w:rsid w:val="00F620B3"/>
    <w:rsid w:val="00F62292"/>
    <w:rsid w:val="00F63A0D"/>
    <w:rsid w:val="00F74985"/>
    <w:rsid w:val="00F777EB"/>
    <w:rsid w:val="00F83306"/>
    <w:rsid w:val="00F91D2B"/>
    <w:rsid w:val="00F96E7F"/>
    <w:rsid w:val="00FA3C4B"/>
    <w:rsid w:val="00FB0664"/>
    <w:rsid w:val="00FB3C58"/>
    <w:rsid w:val="00FB574B"/>
    <w:rsid w:val="00FB6959"/>
    <w:rsid w:val="00FC1A52"/>
    <w:rsid w:val="00FC7BEC"/>
    <w:rsid w:val="00FD023F"/>
    <w:rsid w:val="00FD0637"/>
    <w:rsid w:val="00FD7D47"/>
    <w:rsid w:val="00FE2346"/>
    <w:rsid w:val="00FE3894"/>
    <w:rsid w:val="00FE5082"/>
    <w:rsid w:val="00FE711C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6DD4BA9-6163-4DA8-8981-BFEAED7F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4C5C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customStyle="1" w:styleId="Prrafodelista1">
    <w:name w:val="Párrafo de lista1"/>
    <w:basedOn w:val="Normal"/>
    <w:link w:val="ListParagraphCh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customStyle="1" w:styleId="LightShading-Accent4">
    <w:name w:val="Light Shading -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styleId="Cuadrculamedia1-nfasis4">
    <w:name w:val="Medium Grid 1 Accent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customStyle="1" w:styleId="LightGrid-Accent4">
    <w:name w:val="Light Grid -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Sinespaciado1">
    <w:name w:val="Sin espaciado1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1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ListParagraphChar">
    <w:name w:val="List Paragraph Char"/>
    <w:basedOn w:val="Fuentedeprrafopredeter"/>
    <w:link w:val="Prrafodelista1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1697</Words>
  <Characters>9339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</dc:creator>
  <cp:keywords/>
  <cp:lastModifiedBy>Samuel Piñero</cp:lastModifiedBy>
  <cp:revision>10</cp:revision>
  <cp:lastPrinted>2015-05-07T07:14:00Z</cp:lastPrinted>
  <dcterms:created xsi:type="dcterms:W3CDTF">2016-07-08T12:23:00Z</dcterms:created>
  <dcterms:modified xsi:type="dcterms:W3CDTF">2019-01-18T11:37:00Z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